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75935" w14:textId="77777777" w:rsidR="00FA7FCF" w:rsidRPr="002925B1" w:rsidRDefault="00FA7FCF" w:rsidP="00CC6E7C">
      <w:pPr>
        <w:pStyle w:val="Rubrik1"/>
        <w:spacing w:line="240" w:lineRule="auto"/>
        <w:rPr>
          <w:lang w:val="en-GB"/>
        </w:rPr>
      </w:pPr>
      <w:r w:rsidRPr="002925B1">
        <w:rPr>
          <w:lang w:val="en-GB"/>
        </w:rPr>
        <w:t>Digital tenders at</w:t>
      </w:r>
      <w:r w:rsidR="0072452D" w:rsidRPr="002925B1">
        <w:rPr>
          <w:lang w:val="en-GB"/>
        </w:rPr>
        <w:t xml:space="preserve"> Menigo</w:t>
      </w:r>
    </w:p>
    <w:p w14:paraId="5D17D34A" w14:textId="6D459F79" w:rsidR="00F0589B" w:rsidRDefault="00FA7FCF" w:rsidP="00FA7FCF">
      <w:pPr>
        <w:rPr>
          <w:lang w:val="en-GB"/>
        </w:rPr>
      </w:pPr>
      <w:r w:rsidRPr="0062771E">
        <w:rPr>
          <w:lang w:val="en-GB"/>
        </w:rPr>
        <w:t xml:space="preserve">Starting in </w:t>
      </w:r>
      <w:r w:rsidR="00D65765" w:rsidRPr="0062771E">
        <w:rPr>
          <w:lang w:val="en-GB"/>
        </w:rPr>
        <w:t>September 2019</w:t>
      </w:r>
      <w:r w:rsidR="00BE69D3" w:rsidRPr="0062771E">
        <w:rPr>
          <w:lang w:val="en-GB"/>
        </w:rPr>
        <w:t>, Menigo only accepts assortment rev</w:t>
      </w:r>
      <w:r w:rsidR="006651FD">
        <w:rPr>
          <w:lang w:val="en-GB"/>
        </w:rPr>
        <w:t>i</w:t>
      </w:r>
      <w:r w:rsidR="00BE69D3" w:rsidRPr="0062771E">
        <w:rPr>
          <w:lang w:val="en-GB"/>
        </w:rPr>
        <w:t>sions through our digital tool (a.k.a. Newton)</w:t>
      </w:r>
      <w:r w:rsidR="0062771E" w:rsidRPr="0062771E">
        <w:rPr>
          <w:lang w:val="en-GB"/>
        </w:rPr>
        <w:t>.</w:t>
      </w:r>
      <w:r w:rsidR="00CC6E7C" w:rsidRPr="0062771E">
        <w:rPr>
          <w:lang w:val="en-GB"/>
        </w:rPr>
        <w:br/>
      </w:r>
      <w:proofErr w:type="spellStart"/>
      <w:r w:rsidR="0062771E" w:rsidRPr="0062771E">
        <w:rPr>
          <w:lang w:val="en-GB"/>
        </w:rPr>
        <w:t>Revsions</w:t>
      </w:r>
      <w:proofErr w:type="spellEnd"/>
      <w:r w:rsidR="0062771E" w:rsidRPr="0062771E">
        <w:rPr>
          <w:lang w:val="en-GB"/>
        </w:rPr>
        <w:t xml:space="preserve"> includes </w:t>
      </w:r>
      <w:r w:rsidR="006651FD">
        <w:rPr>
          <w:lang w:val="en-GB"/>
        </w:rPr>
        <w:t>n</w:t>
      </w:r>
      <w:r w:rsidR="0062771E" w:rsidRPr="0062771E">
        <w:rPr>
          <w:lang w:val="en-GB"/>
        </w:rPr>
        <w:t>ew items, changed items and de-listed item</w:t>
      </w:r>
      <w:r w:rsidR="00CC6E7C" w:rsidRPr="0062771E">
        <w:rPr>
          <w:lang w:val="en-GB"/>
        </w:rPr>
        <w:t>.</w:t>
      </w:r>
      <w:r w:rsidR="00CC6E7C" w:rsidRPr="0062771E">
        <w:rPr>
          <w:lang w:val="en-GB"/>
        </w:rPr>
        <w:br/>
      </w:r>
      <w:r w:rsidR="00691B62" w:rsidRPr="00691B62">
        <w:rPr>
          <w:lang w:val="en-GB"/>
        </w:rPr>
        <w:t>With a few ex</w:t>
      </w:r>
      <w:r w:rsidR="00691B62">
        <w:rPr>
          <w:lang w:val="en-GB"/>
        </w:rPr>
        <w:t>c</w:t>
      </w:r>
      <w:r w:rsidR="00691B62" w:rsidRPr="00691B62">
        <w:rPr>
          <w:lang w:val="en-GB"/>
        </w:rPr>
        <w:t>eptions revis</w:t>
      </w:r>
      <w:r w:rsidR="00691B62">
        <w:rPr>
          <w:lang w:val="en-GB"/>
        </w:rPr>
        <w:t>i</w:t>
      </w:r>
      <w:r w:rsidR="00691B62" w:rsidRPr="00691B62">
        <w:rPr>
          <w:lang w:val="en-GB"/>
        </w:rPr>
        <w:t>ons will only be accepted a</w:t>
      </w:r>
      <w:r w:rsidR="00691B62">
        <w:rPr>
          <w:lang w:val="en-GB"/>
        </w:rPr>
        <w:t xml:space="preserve">t </w:t>
      </w:r>
      <w:r w:rsidR="003058B5">
        <w:rPr>
          <w:lang w:val="en-GB"/>
        </w:rPr>
        <w:t xml:space="preserve">specific times; for foodservice and equipment </w:t>
      </w:r>
      <w:r w:rsidR="00C85DE3">
        <w:rPr>
          <w:lang w:val="en-GB"/>
        </w:rPr>
        <w:t>it is the first Monday of February, May, September and November.</w:t>
      </w:r>
      <w:r w:rsidR="00114E24">
        <w:rPr>
          <w:lang w:val="en-GB"/>
        </w:rPr>
        <w:br/>
        <w:t>Revisions should be advertised at least 12 weeks in advance</w:t>
      </w:r>
      <w:r w:rsidR="00FB33B6">
        <w:rPr>
          <w:lang w:val="en-GB"/>
        </w:rPr>
        <w:t>.</w:t>
      </w:r>
      <w:r w:rsidR="002925B1">
        <w:rPr>
          <w:lang w:val="en-GB"/>
        </w:rPr>
        <w:br/>
      </w:r>
      <w:r w:rsidR="002925B1" w:rsidRPr="0027614D">
        <w:rPr>
          <w:b/>
          <w:bCs/>
          <w:lang w:val="en-GB"/>
        </w:rPr>
        <w:t>Please note</w:t>
      </w:r>
      <w:r w:rsidR="002925B1">
        <w:rPr>
          <w:lang w:val="en-GB"/>
        </w:rPr>
        <w:t xml:space="preserve"> that all equipment quotes</w:t>
      </w:r>
      <w:r w:rsidR="00F302AD">
        <w:rPr>
          <w:lang w:val="en-GB"/>
        </w:rPr>
        <w:t xml:space="preserve"> MUST have </w:t>
      </w:r>
      <w:r w:rsidR="007313A8">
        <w:rPr>
          <w:lang w:val="en-GB"/>
        </w:rPr>
        <w:t>“</w:t>
      </w:r>
      <w:r w:rsidR="00F302AD">
        <w:rPr>
          <w:lang w:val="en-GB"/>
        </w:rPr>
        <w:t>VCD Restaurant Equipment</w:t>
      </w:r>
      <w:r w:rsidR="007313A8">
        <w:rPr>
          <w:lang w:val="en-GB"/>
        </w:rPr>
        <w:t>” attached UNLESS you</w:t>
      </w:r>
      <w:r w:rsidR="00186E67">
        <w:rPr>
          <w:lang w:val="en-GB"/>
        </w:rPr>
        <w:t xml:space="preserve"> send electronic AI through </w:t>
      </w:r>
      <w:proofErr w:type="spellStart"/>
      <w:r w:rsidR="00186E67">
        <w:rPr>
          <w:lang w:val="en-GB"/>
        </w:rPr>
        <w:t>Valdioo</w:t>
      </w:r>
      <w:proofErr w:type="spellEnd"/>
      <w:r w:rsidR="00186E67">
        <w:rPr>
          <w:lang w:val="en-GB"/>
        </w:rPr>
        <w:t>/GS1.</w:t>
      </w:r>
      <w:r w:rsidR="0027614D">
        <w:rPr>
          <w:lang w:val="en-GB"/>
        </w:rPr>
        <w:t xml:space="preserve"> (more information below)</w:t>
      </w:r>
    </w:p>
    <w:p w14:paraId="55B0CBE3" w14:textId="60B4BF89" w:rsidR="00FB33B6" w:rsidRPr="00840C25" w:rsidRDefault="00FB33B6" w:rsidP="00FA7FCF">
      <w:pPr>
        <w:rPr>
          <w:lang w:val="en-GB"/>
        </w:rPr>
      </w:pPr>
      <w:r w:rsidRPr="00FB33B6">
        <w:rPr>
          <w:lang w:val="en-GB"/>
        </w:rPr>
        <w:t>At this point the tool i</w:t>
      </w:r>
      <w:r>
        <w:rPr>
          <w:lang w:val="en-GB"/>
        </w:rPr>
        <w:t xml:space="preserve">s only </w:t>
      </w:r>
      <w:r w:rsidR="00371E50">
        <w:rPr>
          <w:lang w:val="en-GB"/>
        </w:rPr>
        <w:t>available in Swedish</w:t>
      </w:r>
      <w:r w:rsidR="00990644">
        <w:rPr>
          <w:lang w:val="en-GB"/>
        </w:rPr>
        <w:t>.</w:t>
      </w:r>
      <w:r w:rsidR="00840C25">
        <w:rPr>
          <w:lang w:val="en-GB"/>
        </w:rPr>
        <w:t xml:space="preserve"> </w:t>
      </w:r>
      <w:r w:rsidR="00840C25" w:rsidRPr="00840C25">
        <w:rPr>
          <w:lang w:val="en-GB"/>
        </w:rPr>
        <w:t>This manual aims to g</w:t>
      </w:r>
      <w:r w:rsidR="00840C25">
        <w:rPr>
          <w:lang w:val="en-GB"/>
        </w:rPr>
        <w:t>uide you through the process.</w:t>
      </w:r>
    </w:p>
    <w:p w14:paraId="76119AB7" w14:textId="38000DA1" w:rsidR="0023236B" w:rsidRDefault="0072452D" w:rsidP="0023236B">
      <w:pPr>
        <w:pStyle w:val="Rubrik2"/>
        <w:rPr>
          <w:lang w:val="en-GB"/>
        </w:rPr>
      </w:pPr>
      <w:r w:rsidRPr="007F7FE9">
        <w:rPr>
          <w:lang w:val="en-GB"/>
        </w:rPr>
        <w:t>Log</w:t>
      </w:r>
      <w:r w:rsidR="00840C25" w:rsidRPr="007F7FE9">
        <w:rPr>
          <w:lang w:val="en-GB"/>
        </w:rPr>
        <w:t xml:space="preserve"> onto</w:t>
      </w:r>
      <w:r w:rsidRPr="007F7FE9">
        <w:rPr>
          <w:lang w:val="en-GB"/>
        </w:rPr>
        <w:t xml:space="preserve"> Menigo</w:t>
      </w:r>
      <w:r w:rsidR="00840C25" w:rsidRPr="007F7FE9">
        <w:rPr>
          <w:lang w:val="en-GB"/>
        </w:rPr>
        <w:t xml:space="preserve">s Supplier portal with your usual </w:t>
      </w:r>
      <w:r w:rsidR="007F7FE9" w:rsidRPr="007F7FE9">
        <w:rPr>
          <w:lang w:val="en-GB"/>
        </w:rPr>
        <w:t>account</w:t>
      </w:r>
      <w:r w:rsidRPr="007F7FE9">
        <w:rPr>
          <w:lang w:val="en-GB"/>
        </w:rPr>
        <w:t>.</w:t>
      </w:r>
    </w:p>
    <w:p w14:paraId="7517A649" w14:textId="03295F95" w:rsidR="007F7FE9" w:rsidRPr="007F7FE9" w:rsidRDefault="007F7FE9" w:rsidP="007F7FE9">
      <w:pPr>
        <w:rPr>
          <w:lang w:val="en-GB"/>
        </w:rPr>
      </w:pPr>
      <w:r>
        <w:rPr>
          <w:lang w:val="en-GB"/>
        </w:rPr>
        <w:t xml:space="preserve">The supplier portal </w:t>
      </w:r>
      <w:r w:rsidR="00915F41">
        <w:rPr>
          <w:lang w:val="en-GB"/>
        </w:rPr>
        <w:t>support information in English.</w:t>
      </w:r>
    </w:p>
    <w:p w14:paraId="65A02F3C" w14:textId="77777777" w:rsidR="00720566" w:rsidRDefault="007F7FE9" w:rsidP="00720566">
      <w:pPr>
        <w:rPr>
          <w:lang w:val="en-GB"/>
        </w:rPr>
      </w:pPr>
      <w:r w:rsidRPr="007F7FE9">
        <w:rPr>
          <w:lang w:val="en-GB"/>
        </w:rPr>
        <w:t>Choose the function A</w:t>
      </w:r>
      <w:r>
        <w:rPr>
          <w:lang w:val="en-GB"/>
        </w:rPr>
        <w:t>ssortment revision</w:t>
      </w:r>
      <w:r w:rsidR="00915F41">
        <w:rPr>
          <w:lang w:val="en-GB"/>
        </w:rPr>
        <w:t>.</w:t>
      </w:r>
    </w:p>
    <w:p w14:paraId="1EBCBEFE" w14:textId="332D22E3" w:rsidR="00AF046C" w:rsidRPr="007F7FE9" w:rsidRDefault="00B002D3" w:rsidP="00720566">
      <w:pPr>
        <w:pStyle w:val="Rubrik1"/>
        <w:rPr>
          <w:lang w:val="en-GB"/>
        </w:rPr>
      </w:pPr>
      <w:r>
        <w:rPr>
          <w:lang w:val="en-GB"/>
        </w:rPr>
        <w:t>Start page</w:t>
      </w:r>
    </w:p>
    <w:p w14:paraId="11AFCDE8" w14:textId="77777777" w:rsidR="0072452D" w:rsidRPr="0072452D" w:rsidRDefault="0072452D" w:rsidP="0072452D">
      <w:r>
        <w:rPr>
          <w:noProof/>
        </w:rPr>
        <w:drawing>
          <wp:inline distT="0" distB="0" distL="0" distR="0" wp14:anchorId="2A0B1647" wp14:editId="06625BF1">
            <wp:extent cx="5039995" cy="1198245"/>
            <wp:effectExtent l="0" t="0" r="8255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52F48" w14:textId="5237C7FD" w:rsidR="00B26E98" w:rsidRDefault="00B002D3" w:rsidP="00880ECE">
      <w:r w:rsidRPr="00812DE5">
        <w:rPr>
          <w:lang w:val="en-GB"/>
        </w:rPr>
        <w:t xml:space="preserve">On the start </w:t>
      </w:r>
      <w:r w:rsidR="00812DE5" w:rsidRPr="00812DE5">
        <w:rPr>
          <w:lang w:val="en-GB"/>
        </w:rPr>
        <w:t>page y</w:t>
      </w:r>
      <w:r w:rsidR="00812DE5">
        <w:rPr>
          <w:lang w:val="en-GB"/>
        </w:rPr>
        <w:t>ou will se</w:t>
      </w:r>
      <w:r w:rsidR="00720566">
        <w:rPr>
          <w:lang w:val="en-GB"/>
        </w:rPr>
        <w:t>e</w:t>
      </w:r>
      <w:r w:rsidR="00812DE5">
        <w:rPr>
          <w:lang w:val="en-GB"/>
        </w:rPr>
        <w:t xml:space="preserve"> your earlier</w:t>
      </w:r>
      <w:r w:rsidR="00720566">
        <w:rPr>
          <w:lang w:val="en-GB"/>
        </w:rPr>
        <w:t xml:space="preserve"> quotes</w:t>
      </w:r>
      <w:r w:rsidR="00812DE5">
        <w:rPr>
          <w:lang w:val="en-GB"/>
        </w:rPr>
        <w:t>.</w:t>
      </w:r>
      <w:r w:rsidR="00812DE5">
        <w:rPr>
          <w:lang w:val="en-GB"/>
        </w:rPr>
        <w:br/>
      </w:r>
      <w:r w:rsidR="00B26E98" w:rsidRPr="002925B1">
        <w:rPr>
          <w:lang w:val="en-GB"/>
        </w:rPr>
        <w:br/>
      </w:r>
      <w:r w:rsidR="009F13B9" w:rsidRPr="009F13B9">
        <w:rPr>
          <w:lang w:val="en-GB"/>
        </w:rPr>
        <w:t xml:space="preserve">Under </w:t>
      </w:r>
      <w:r w:rsidR="009F13B9">
        <w:rPr>
          <w:lang w:val="en-GB"/>
        </w:rPr>
        <w:t xml:space="preserve">Nya </w:t>
      </w:r>
      <w:proofErr w:type="spellStart"/>
      <w:r w:rsidR="009F13B9">
        <w:rPr>
          <w:lang w:val="en-GB"/>
        </w:rPr>
        <w:t>offerter</w:t>
      </w:r>
      <w:proofErr w:type="spellEnd"/>
      <w:r w:rsidR="009F13B9" w:rsidRPr="009F13B9">
        <w:rPr>
          <w:lang w:val="en-GB"/>
        </w:rPr>
        <w:t xml:space="preserve"> there are those that Menigo has not yet started working on.</w:t>
      </w:r>
      <w:r w:rsidR="007C75D9" w:rsidRPr="009F13B9">
        <w:rPr>
          <w:lang w:val="en-GB"/>
        </w:rPr>
        <w:br/>
      </w:r>
      <w:r w:rsidR="00B26E98" w:rsidRPr="00CD7483">
        <w:rPr>
          <w:lang w:val="en-GB"/>
        </w:rPr>
        <w:t xml:space="preserve">Under </w:t>
      </w:r>
      <w:proofErr w:type="spellStart"/>
      <w:r w:rsidR="00B26E98" w:rsidRPr="00CD7483">
        <w:rPr>
          <w:lang w:val="en-GB"/>
        </w:rPr>
        <w:t>Pågående</w:t>
      </w:r>
      <w:proofErr w:type="spellEnd"/>
      <w:r w:rsidR="00B26E98" w:rsidRPr="00CD7483">
        <w:rPr>
          <w:lang w:val="en-GB"/>
        </w:rPr>
        <w:t xml:space="preserve"> </w:t>
      </w:r>
      <w:proofErr w:type="spellStart"/>
      <w:r w:rsidR="00B26E98" w:rsidRPr="00CD7483">
        <w:rPr>
          <w:lang w:val="en-GB"/>
        </w:rPr>
        <w:t>offerter</w:t>
      </w:r>
      <w:proofErr w:type="spellEnd"/>
      <w:r w:rsidR="00B26E98" w:rsidRPr="00CD7483">
        <w:rPr>
          <w:lang w:val="en-GB"/>
        </w:rPr>
        <w:t xml:space="preserve"> </w:t>
      </w:r>
      <w:r w:rsidR="009F13B9" w:rsidRPr="00CD7483">
        <w:rPr>
          <w:lang w:val="en-GB"/>
        </w:rPr>
        <w:t>there are those that Menigo has s</w:t>
      </w:r>
      <w:r w:rsidR="00CD7483" w:rsidRPr="00CD7483">
        <w:rPr>
          <w:lang w:val="en-GB"/>
        </w:rPr>
        <w:t>tarted reviewing.</w:t>
      </w:r>
      <w:r w:rsidR="007C75D9" w:rsidRPr="00CD7483">
        <w:rPr>
          <w:lang w:val="en-GB"/>
        </w:rPr>
        <w:br/>
      </w:r>
      <w:r w:rsidR="00B26E98">
        <w:t xml:space="preserve">Avslutade offerter är </w:t>
      </w:r>
      <w:proofErr w:type="spellStart"/>
      <w:r w:rsidR="00CD7483">
        <w:t>closed</w:t>
      </w:r>
      <w:proofErr w:type="spellEnd"/>
    </w:p>
    <w:p w14:paraId="18002F82" w14:textId="149C1001" w:rsidR="00A201D7" w:rsidRDefault="00CB3C48" w:rsidP="00880ECE">
      <w:r>
        <w:t xml:space="preserve">Export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earlier</w:t>
      </w:r>
      <w:proofErr w:type="spellEnd"/>
      <w:r>
        <w:t xml:space="preserve"> material</w:t>
      </w:r>
    </w:p>
    <w:p w14:paraId="67FC9898" w14:textId="474C1362" w:rsidR="00A201D7" w:rsidRDefault="00A201D7" w:rsidP="00880ECE">
      <w:r>
        <w:rPr>
          <w:noProof/>
        </w:rPr>
        <w:drawing>
          <wp:inline distT="0" distB="0" distL="0" distR="0" wp14:anchorId="14BA1516" wp14:editId="41C796A7">
            <wp:extent cx="2343150" cy="5715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95C15" w14:textId="03789429" w:rsidR="00B74A41" w:rsidRDefault="00B74A41" w:rsidP="00880ECE">
      <w:pPr>
        <w:rPr>
          <w:lang w:val="en-GB"/>
        </w:rPr>
      </w:pPr>
      <w:r w:rsidRPr="00B74A41">
        <w:rPr>
          <w:lang w:val="en-GB"/>
        </w:rPr>
        <w:t xml:space="preserve">To export </w:t>
      </w:r>
      <w:r w:rsidR="00CE06FB" w:rsidRPr="00B74A41">
        <w:rPr>
          <w:lang w:val="en-GB"/>
        </w:rPr>
        <w:t>everything,</w:t>
      </w:r>
      <w:r w:rsidRPr="00B74A41">
        <w:rPr>
          <w:lang w:val="en-GB"/>
        </w:rPr>
        <w:t xml:space="preserve"> you see on the screen (for example, all pending quotes or all rows in the quotation you have opened) press the Excel symbol (</w:t>
      </w:r>
      <w:r>
        <w:rPr>
          <w:lang w:val="en-GB"/>
        </w:rPr>
        <w:t>secon</w:t>
      </w:r>
      <w:r w:rsidR="004F0D7E">
        <w:rPr>
          <w:lang w:val="en-GB"/>
        </w:rPr>
        <w:t>d</w:t>
      </w:r>
      <w:r w:rsidRPr="00B74A41">
        <w:rPr>
          <w:lang w:val="en-GB"/>
        </w:rPr>
        <w:t xml:space="preserve"> from the right). You can choose to export to an Excel file or email. If you choose to email, the Excel file will appear as an attachment.</w:t>
      </w:r>
    </w:p>
    <w:p w14:paraId="42D135D1" w14:textId="77777777" w:rsidR="0007043B" w:rsidRDefault="0007043B" w:rsidP="00880ECE">
      <w:pPr>
        <w:rPr>
          <w:lang w:val="en-GB"/>
        </w:rPr>
      </w:pPr>
      <w:r w:rsidRPr="0007043B">
        <w:rPr>
          <w:lang w:val="en-GB"/>
        </w:rPr>
        <w:t>You cannot change or adjust anything when the quote is submitted. If you miss a detail or need to make a minor adjustment - contact your category manager. This also applies if for some reason you want to remove the entire quote and start from the beginning.</w:t>
      </w:r>
    </w:p>
    <w:p w14:paraId="691F278C" w14:textId="6941827F" w:rsidR="00CC6E7C" w:rsidRPr="005630E5" w:rsidRDefault="005630E5" w:rsidP="005630E5">
      <w:pPr>
        <w:rPr>
          <w:lang w:val="en-GB"/>
        </w:rPr>
      </w:pPr>
      <w:r w:rsidRPr="005630E5">
        <w:rPr>
          <w:lang w:val="en-GB"/>
        </w:rPr>
        <w:lastRenderedPageBreak/>
        <w:t>If you forgot to send with articles you can send a supplementary quote. The quotation you have already submitted will not be overwritten, but you will have two quotation IDs for the period.</w:t>
      </w:r>
      <w:r>
        <w:rPr>
          <w:lang w:val="en-GB"/>
        </w:rPr>
        <w:br/>
      </w:r>
      <w:r w:rsidRPr="005630E5">
        <w:rPr>
          <w:lang w:val="en-GB"/>
        </w:rPr>
        <w:t>Any changes in prices or discounts that you and Menigo agree will not be displayed.</w:t>
      </w:r>
    </w:p>
    <w:p w14:paraId="73818AE6" w14:textId="0EDAF8EC" w:rsidR="00A363C7" w:rsidRPr="00A363C7" w:rsidRDefault="00972BBE" w:rsidP="00A363C7">
      <w:pPr>
        <w:pStyle w:val="Rubrik1"/>
        <w:rPr>
          <w:rFonts w:asciiTheme="minorHAnsi" w:eastAsiaTheme="minorEastAsia" w:hAnsiTheme="minorHAnsi" w:cstheme="minorBidi"/>
          <w:b w:val="0"/>
          <w:sz w:val="22"/>
          <w:szCs w:val="19"/>
          <w:lang w:val="en-GB"/>
        </w:rPr>
      </w:pPr>
      <w:r>
        <w:rPr>
          <w:lang w:val="en-GB"/>
        </w:rPr>
        <w:t>Post a quote</w:t>
      </w:r>
      <w:r w:rsidR="00CC6E7C" w:rsidRPr="00FF2493">
        <w:rPr>
          <w:lang w:val="en-GB"/>
        </w:rPr>
        <w:br/>
      </w:r>
      <w:r w:rsidR="00FF2493" w:rsidRPr="00FF2493">
        <w:rPr>
          <w:rFonts w:asciiTheme="minorHAnsi" w:eastAsiaTheme="minorEastAsia" w:hAnsiTheme="minorHAnsi" w:cstheme="minorBidi"/>
          <w:b w:val="0"/>
          <w:sz w:val="22"/>
          <w:szCs w:val="19"/>
          <w:lang w:val="en-GB"/>
        </w:rPr>
        <w:t xml:space="preserve">To place a quote / article notification, click </w:t>
      </w:r>
      <w:proofErr w:type="spellStart"/>
      <w:r w:rsidR="00FF2493">
        <w:rPr>
          <w:rFonts w:asciiTheme="minorHAnsi" w:eastAsiaTheme="minorEastAsia" w:hAnsiTheme="minorHAnsi" w:cstheme="minorBidi"/>
          <w:b w:val="0"/>
          <w:sz w:val="22"/>
          <w:szCs w:val="19"/>
          <w:lang w:val="en-GB"/>
        </w:rPr>
        <w:t>Artikelavisering</w:t>
      </w:r>
      <w:proofErr w:type="spellEnd"/>
      <w:r w:rsidR="00FF2493" w:rsidRPr="00FF2493">
        <w:rPr>
          <w:rFonts w:asciiTheme="minorHAnsi" w:eastAsiaTheme="minorEastAsia" w:hAnsiTheme="minorHAnsi" w:cstheme="minorBidi"/>
          <w:b w:val="0"/>
          <w:sz w:val="22"/>
          <w:szCs w:val="19"/>
          <w:lang w:val="en-GB"/>
        </w:rPr>
        <w:t xml:space="preserve"> on the left.</w:t>
      </w:r>
      <w:r w:rsidR="00EE55BF">
        <w:rPr>
          <w:rFonts w:asciiTheme="minorHAnsi" w:eastAsiaTheme="minorEastAsia" w:hAnsiTheme="minorHAnsi" w:cstheme="minorBidi"/>
          <w:b w:val="0"/>
          <w:sz w:val="22"/>
          <w:szCs w:val="19"/>
          <w:lang w:val="en-GB"/>
        </w:rPr>
        <w:tab/>
      </w:r>
    </w:p>
    <w:p w14:paraId="2FB7D4E9" w14:textId="42853C48" w:rsidR="00FF2493" w:rsidRPr="00FF2493" w:rsidRDefault="00FF2493" w:rsidP="00A363C7">
      <w:pPr>
        <w:pStyle w:val="Rubrik1"/>
        <w:spacing w:line="240" w:lineRule="auto"/>
        <w:rPr>
          <w:rFonts w:asciiTheme="minorHAnsi" w:eastAsiaTheme="minorEastAsia" w:hAnsiTheme="minorHAnsi" w:cstheme="minorBidi"/>
          <w:b w:val="0"/>
          <w:sz w:val="22"/>
          <w:szCs w:val="19"/>
          <w:lang w:val="en-GB"/>
        </w:rPr>
      </w:pPr>
      <w:r w:rsidRPr="00FF2493">
        <w:rPr>
          <w:rFonts w:asciiTheme="minorHAnsi" w:eastAsiaTheme="minorEastAsia" w:hAnsiTheme="minorHAnsi" w:cstheme="minorBidi"/>
          <w:b w:val="0"/>
          <w:sz w:val="22"/>
          <w:szCs w:val="19"/>
          <w:lang w:val="en-GB"/>
        </w:rPr>
        <w:t>If you have not already filled in the quotation template, you can download it here</w:t>
      </w:r>
      <w:r w:rsidR="00055C92">
        <w:rPr>
          <w:rFonts w:asciiTheme="minorHAnsi" w:eastAsiaTheme="minorEastAsia" w:hAnsiTheme="minorHAnsi" w:cstheme="minorBidi"/>
          <w:b w:val="0"/>
          <w:sz w:val="22"/>
          <w:szCs w:val="19"/>
          <w:lang w:val="en-GB"/>
        </w:rPr>
        <w:t xml:space="preserve"> (in </w:t>
      </w:r>
      <w:r w:rsidR="00A363C7">
        <w:rPr>
          <w:rFonts w:asciiTheme="minorHAnsi" w:eastAsiaTheme="minorEastAsia" w:hAnsiTheme="minorHAnsi" w:cstheme="minorBidi"/>
          <w:b w:val="0"/>
          <w:sz w:val="22"/>
          <w:szCs w:val="19"/>
          <w:lang w:val="en-GB"/>
        </w:rPr>
        <w:t>Sw</w:t>
      </w:r>
      <w:r w:rsidR="00055C92">
        <w:rPr>
          <w:rFonts w:asciiTheme="minorHAnsi" w:eastAsiaTheme="minorEastAsia" w:hAnsiTheme="minorHAnsi" w:cstheme="minorBidi"/>
          <w:b w:val="0"/>
          <w:sz w:val="22"/>
          <w:szCs w:val="19"/>
          <w:lang w:val="en-GB"/>
        </w:rPr>
        <w:t>edish only)</w:t>
      </w:r>
      <w:r w:rsidRPr="00FF2493">
        <w:rPr>
          <w:rFonts w:asciiTheme="minorHAnsi" w:eastAsiaTheme="minorEastAsia" w:hAnsiTheme="minorHAnsi" w:cstheme="minorBidi"/>
          <w:b w:val="0"/>
          <w:sz w:val="22"/>
          <w:szCs w:val="19"/>
          <w:lang w:val="en-GB"/>
        </w:rPr>
        <w:t>, click on Download template. The template contains information about what is mandatory to fill out.</w:t>
      </w:r>
      <w:r w:rsidR="00A363C7">
        <w:rPr>
          <w:rFonts w:asciiTheme="minorHAnsi" w:eastAsiaTheme="minorEastAsia" w:hAnsiTheme="minorHAnsi" w:cstheme="minorBidi"/>
          <w:b w:val="0"/>
          <w:sz w:val="22"/>
          <w:szCs w:val="19"/>
          <w:lang w:val="en-GB"/>
        </w:rPr>
        <w:br/>
      </w:r>
    </w:p>
    <w:p w14:paraId="6B9C438A" w14:textId="445FA956" w:rsidR="00FF2493" w:rsidRPr="00FF2493" w:rsidRDefault="00FF2493" w:rsidP="00A363C7">
      <w:pPr>
        <w:pStyle w:val="Rubrik1"/>
        <w:spacing w:line="240" w:lineRule="auto"/>
        <w:rPr>
          <w:rFonts w:asciiTheme="minorHAnsi" w:eastAsiaTheme="minorEastAsia" w:hAnsiTheme="minorHAnsi" w:cstheme="minorBidi"/>
          <w:b w:val="0"/>
          <w:sz w:val="22"/>
          <w:szCs w:val="19"/>
          <w:lang w:val="en-GB"/>
        </w:rPr>
      </w:pPr>
      <w:r w:rsidRPr="00FF2493">
        <w:rPr>
          <w:rFonts w:asciiTheme="minorHAnsi" w:eastAsiaTheme="minorEastAsia" w:hAnsiTheme="minorHAnsi" w:cstheme="minorBidi"/>
          <w:b w:val="0"/>
          <w:sz w:val="22"/>
          <w:szCs w:val="19"/>
          <w:lang w:val="en-GB"/>
        </w:rPr>
        <w:t xml:space="preserve">When you have a ready notification to send, click </w:t>
      </w:r>
      <w:proofErr w:type="spellStart"/>
      <w:r w:rsidR="00F162FF">
        <w:rPr>
          <w:rFonts w:asciiTheme="minorHAnsi" w:eastAsiaTheme="minorEastAsia" w:hAnsiTheme="minorHAnsi" w:cstheme="minorBidi"/>
          <w:b w:val="0"/>
          <w:sz w:val="22"/>
          <w:szCs w:val="19"/>
          <w:lang w:val="en-GB"/>
        </w:rPr>
        <w:t>Importera</w:t>
      </w:r>
      <w:proofErr w:type="spellEnd"/>
      <w:r w:rsidR="00F162FF">
        <w:rPr>
          <w:rFonts w:asciiTheme="minorHAnsi" w:eastAsiaTheme="minorEastAsia" w:hAnsiTheme="minorHAnsi" w:cstheme="minorBidi"/>
          <w:b w:val="0"/>
          <w:sz w:val="22"/>
          <w:szCs w:val="19"/>
          <w:lang w:val="en-GB"/>
        </w:rPr>
        <w:t xml:space="preserve"> </w:t>
      </w:r>
      <w:proofErr w:type="spellStart"/>
      <w:r w:rsidR="00F162FF">
        <w:rPr>
          <w:rFonts w:asciiTheme="minorHAnsi" w:eastAsiaTheme="minorEastAsia" w:hAnsiTheme="minorHAnsi" w:cstheme="minorBidi"/>
          <w:b w:val="0"/>
          <w:sz w:val="22"/>
          <w:szCs w:val="19"/>
          <w:lang w:val="en-GB"/>
        </w:rPr>
        <w:t>artiklar</w:t>
      </w:r>
      <w:proofErr w:type="spellEnd"/>
      <w:r w:rsidRPr="00FF2493">
        <w:rPr>
          <w:rFonts w:asciiTheme="minorHAnsi" w:eastAsiaTheme="minorEastAsia" w:hAnsiTheme="minorHAnsi" w:cstheme="minorBidi"/>
          <w:b w:val="0"/>
          <w:sz w:val="22"/>
          <w:szCs w:val="19"/>
          <w:lang w:val="en-GB"/>
        </w:rPr>
        <w:t>. Find your file and import.</w:t>
      </w:r>
    </w:p>
    <w:p w14:paraId="64D7E9D6" w14:textId="77777777" w:rsidR="00FF2493" w:rsidRPr="00FF2493" w:rsidRDefault="00FF2493" w:rsidP="00182716">
      <w:pPr>
        <w:pStyle w:val="Rubrik1"/>
        <w:spacing w:line="240" w:lineRule="auto"/>
        <w:rPr>
          <w:rFonts w:asciiTheme="minorHAnsi" w:eastAsiaTheme="minorEastAsia" w:hAnsiTheme="minorHAnsi" w:cstheme="minorBidi"/>
          <w:b w:val="0"/>
          <w:sz w:val="22"/>
          <w:szCs w:val="19"/>
          <w:lang w:val="en-GB"/>
        </w:rPr>
      </w:pPr>
      <w:r w:rsidRPr="00FF2493">
        <w:rPr>
          <w:rFonts w:asciiTheme="minorHAnsi" w:eastAsiaTheme="minorEastAsia" w:hAnsiTheme="minorHAnsi" w:cstheme="minorBidi"/>
          <w:b w:val="0"/>
          <w:sz w:val="22"/>
          <w:szCs w:val="19"/>
          <w:lang w:val="en-GB"/>
        </w:rPr>
        <w:t>The rows you imported are now visible on the screen.</w:t>
      </w:r>
    </w:p>
    <w:p w14:paraId="4A329560" w14:textId="77777777" w:rsidR="00FF2493" w:rsidRPr="00FF2493" w:rsidRDefault="00FF2493" w:rsidP="00182716">
      <w:pPr>
        <w:pStyle w:val="Rubrik1"/>
        <w:spacing w:line="240" w:lineRule="auto"/>
        <w:rPr>
          <w:rFonts w:asciiTheme="minorHAnsi" w:eastAsiaTheme="minorEastAsia" w:hAnsiTheme="minorHAnsi" w:cstheme="minorBidi"/>
          <w:b w:val="0"/>
          <w:sz w:val="22"/>
          <w:szCs w:val="19"/>
          <w:lang w:val="en-GB"/>
        </w:rPr>
      </w:pPr>
      <w:r w:rsidRPr="00FF2493">
        <w:rPr>
          <w:rFonts w:asciiTheme="minorHAnsi" w:eastAsiaTheme="minorEastAsia" w:hAnsiTheme="minorHAnsi" w:cstheme="minorBidi"/>
          <w:b w:val="0"/>
          <w:sz w:val="22"/>
          <w:szCs w:val="19"/>
          <w:lang w:val="en-GB"/>
        </w:rPr>
        <w:t>Rows that are incorrect or incomplete will appear as red. You get some info under Status about what's wrong.</w:t>
      </w:r>
    </w:p>
    <w:p w14:paraId="11996D87" w14:textId="77777777" w:rsidR="00FF2493" w:rsidRPr="00FF2493" w:rsidRDefault="00FF2493" w:rsidP="00182716">
      <w:pPr>
        <w:pStyle w:val="Rubrik1"/>
        <w:spacing w:line="240" w:lineRule="auto"/>
        <w:rPr>
          <w:rFonts w:asciiTheme="minorHAnsi" w:eastAsiaTheme="minorEastAsia" w:hAnsiTheme="minorHAnsi" w:cstheme="minorBidi"/>
          <w:b w:val="0"/>
          <w:sz w:val="22"/>
          <w:szCs w:val="19"/>
          <w:lang w:val="en-GB"/>
        </w:rPr>
      </w:pPr>
      <w:r w:rsidRPr="00FF2493">
        <w:rPr>
          <w:rFonts w:asciiTheme="minorHAnsi" w:eastAsiaTheme="minorEastAsia" w:hAnsiTheme="minorHAnsi" w:cstheme="minorBidi"/>
          <w:b w:val="0"/>
          <w:sz w:val="22"/>
          <w:szCs w:val="19"/>
          <w:lang w:val="en-GB"/>
        </w:rPr>
        <w:t>You must correct or delete the incorrect lines in order to submit your quote!</w:t>
      </w:r>
    </w:p>
    <w:p w14:paraId="460B8BDD" w14:textId="77777777" w:rsidR="00FF2493" w:rsidRPr="00FF2493" w:rsidRDefault="00FF2493" w:rsidP="00182716">
      <w:pPr>
        <w:pStyle w:val="Rubrik1"/>
        <w:spacing w:line="240" w:lineRule="auto"/>
        <w:rPr>
          <w:rFonts w:asciiTheme="minorHAnsi" w:eastAsiaTheme="minorEastAsia" w:hAnsiTheme="minorHAnsi" w:cstheme="minorBidi"/>
          <w:b w:val="0"/>
          <w:sz w:val="22"/>
          <w:szCs w:val="19"/>
          <w:lang w:val="en-GB"/>
        </w:rPr>
      </w:pPr>
      <w:r w:rsidRPr="00FF2493">
        <w:rPr>
          <w:rFonts w:asciiTheme="minorHAnsi" w:eastAsiaTheme="minorEastAsia" w:hAnsiTheme="minorHAnsi" w:cstheme="minorBidi"/>
          <w:b w:val="0"/>
          <w:sz w:val="22"/>
          <w:szCs w:val="19"/>
          <w:lang w:val="en-GB"/>
        </w:rPr>
        <w:t>Adjust the errors in your Excel file and import it again. As long as you have not submitted the notification, you can repeat this as many times as you want / need.</w:t>
      </w:r>
    </w:p>
    <w:p w14:paraId="60684A48" w14:textId="7E1B0EB0" w:rsidR="00A363C7" w:rsidRDefault="00FF2493" w:rsidP="00182716">
      <w:pPr>
        <w:pStyle w:val="Rubrik1"/>
        <w:spacing w:line="240" w:lineRule="auto"/>
        <w:rPr>
          <w:rFonts w:asciiTheme="minorHAnsi" w:eastAsiaTheme="minorEastAsia" w:hAnsiTheme="minorHAnsi" w:cstheme="minorBidi"/>
          <w:b w:val="0"/>
          <w:sz w:val="22"/>
          <w:szCs w:val="19"/>
          <w:lang w:val="en-GB"/>
        </w:rPr>
      </w:pPr>
      <w:r w:rsidRPr="00FF2493">
        <w:rPr>
          <w:rFonts w:asciiTheme="minorHAnsi" w:eastAsiaTheme="minorEastAsia" w:hAnsiTheme="minorHAnsi" w:cstheme="minorBidi"/>
          <w:b w:val="0"/>
          <w:sz w:val="22"/>
          <w:szCs w:val="19"/>
          <w:lang w:val="en-GB"/>
        </w:rPr>
        <w:t>(The most common errors are that a required field is missed or the format is incorrect.</w:t>
      </w:r>
      <w:r w:rsidR="00182716">
        <w:rPr>
          <w:rFonts w:asciiTheme="minorHAnsi" w:eastAsiaTheme="minorEastAsia" w:hAnsiTheme="minorHAnsi" w:cstheme="minorBidi"/>
          <w:b w:val="0"/>
          <w:sz w:val="22"/>
          <w:szCs w:val="19"/>
          <w:lang w:val="en-GB"/>
        </w:rPr>
        <w:t>)</w:t>
      </w:r>
      <w:r w:rsidR="002B5EBF">
        <w:rPr>
          <w:rFonts w:asciiTheme="minorHAnsi" w:eastAsiaTheme="minorEastAsia" w:hAnsiTheme="minorHAnsi" w:cstheme="minorBidi"/>
          <w:b w:val="0"/>
          <w:sz w:val="22"/>
          <w:szCs w:val="19"/>
          <w:lang w:val="en-GB"/>
        </w:rPr>
        <w:br/>
      </w:r>
    </w:p>
    <w:p w14:paraId="798F3E2D" w14:textId="77777777" w:rsidR="00364E4F" w:rsidRDefault="00B91F0D" w:rsidP="00607532">
      <w:pPr>
        <w:pStyle w:val="Rubrik1"/>
        <w:spacing w:line="240" w:lineRule="auto"/>
        <w:rPr>
          <w:lang w:val="en-GB"/>
        </w:rPr>
      </w:pPr>
      <w:r>
        <w:rPr>
          <w:lang w:val="en-GB"/>
        </w:rPr>
        <w:t>Attachments</w:t>
      </w:r>
    </w:p>
    <w:p w14:paraId="574EB70A" w14:textId="77777777" w:rsidR="008F042D" w:rsidRDefault="00364E4F" w:rsidP="00364E4F">
      <w:pPr>
        <w:rPr>
          <w:lang w:val="en-GB"/>
        </w:rPr>
      </w:pPr>
      <w:r>
        <w:rPr>
          <w:lang w:val="en-GB"/>
        </w:rPr>
        <w:t xml:space="preserve">Please note that all equipment quotes must </w:t>
      </w:r>
      <w:r w:rsidR="00B713A2">
        <w:rPr>
          <w:lang w:val="en-GB"/>
        </w:rPr>
        <w:t>have additional information in the workbook “</w:t>
      </w:r>
      <w:r w:rsidR="003F3856">
        <w:rPr>
          <w:lang w:val="en-GB"/>
        </w:rPr>
        <w:t>VCD Restaurant equipment Menigo”</w:t>
      </w:r>
      <w:r w:rsidR="008E37E0">
        <w:rPr>
          <w:lang w:val="en-GB"/>
        </w:rPr>
        <w:t>.</w:t>
      </w:r>
      <w:r>
        <w:rPr>
          <w:lang w:val="en-GB"/>
        </w:rPr>
        <w:br/>
      </w:r>
      <w:r w:rsidR="00767C41" w:rsidRPr="00607532">
        <w:rPr>
          <w:lang w:val="en-GB"/>
        </w:rPr>
        <w:t xml:space="preserve">You </w:t>
      </w:r>
      <w:r w:rsidR="008E37E0">
        <w:rPr>
          <w:lang w:val="en-GB"/>
        </w:rPr>
        <w:t xml:space="preserve">may also </w:t>
      </w:r>
      <w:r w:rsidR="008F042D">
        <w:rPr>
          <w:lang w:val="en-GB"/>
        </w:rPr>
        <w:t>add other attachments</w:t>
      </w:r>
      <w:r w:rsidR="00767C41" w:rsidRPr="00607532">
        <w:rPr>
          <w:lang w:val="en-GB"/>
        </w:rPr>
        <w:t xml:space="preserve"> to your notification, such as a presentation material.</w:t>
      </w:r>
      <w:r w:rsidR="006C42C2" w:rsidRPr="00607532">
        <w:rPr>
          <w:lang w:val="en-GB"/>
        </w:rPr>
        <w:br/>
      </w:r>
      <w:r w:rsidR="00767C41" w:rsidRPr="00607532">
        <w:rPr>
          <w:lang w:val="en-GB"/>
        </w:rPr>
        <w:t>You need to do this BEFORE you press submit to link the material to the quotation.</w:t>
      </w:r>
      <w:r w:rsidR="00607532">
        <w:rPr>
          <w:lang w:val="en-GB"/>
        </w:rPr>
        <w:br/>
      </w:r>
      <w:r w:rsidR="00767C41" w:rsidRPr="00607532">
        <w:rPr>
          <w:lang w:val="en-GB"/>
        </w:rPr>
        <w:t xml:space="preserve">Just click </w:t>
      </w:r>
      <w:proofErr w:type="spellStart"/>
      <w:r>
        <w:rPr>
          <w:b/>
          <w:lang w:val="en-GB"/>
        </w:rPr>
        <w:t>Bifoga</w:t>
      </w:r>
      <w:proofErr w:type="spellEnd"/>
      <w:r>
        <w:rPr>
          <w:b/>
          <w:lang w:val="en-GB"/>
        </w:rPr>
        <w:t xml:space="preserve"> fil</w:t>
      </w:r>
      <w:r w:rsidR="00767C41" w:rsidRPr="00607532">
        <w:rPr>
          <w:lang w:val="en-GB"/>
        </w:rPr>
        <w:t xml:space="preserve"> and upload your document (s).</w:t>
      </w:r>
    </w:p>
    <w:p w14:paraId="71A6C864" w14:textId="72663D68" w:rsidR="00433562" w:rsidRPr="00767C41" w:rsidRDefault="00607532" w:rsidP="00364E4F">
      <w:pPr>
        <w:rPr>
          <w:lang w:val="en-GB"/>
        </w:rPr>
      </w:pPr>
      <w:r>
        <w:rPr>
          <w:lang w:val="en-GB"/>
        </w:rPr>
        <w:br/>
      </w:r>
      <w:r w:rsidR="00D51E00" w:rsidRPr="00CE06FB">
        <w:rPr>
          <w:rStyle w:val="Rubrik1Char"/>
          <w:lang w:val="en-GB"/>
        </w:rPr>
        <w:t>Submit</w:t>
      </w:r>
    </w:p>
    <w:p w14:paraId="3C6744AF" w14:textId="77777777" w:rsidR="00EB1CD8" w:rsidRPr="00EB1CD8" w:rsidRDefault="00EB1CD8" w:rsidP="00EB1CD8">
      <w:pPr>
        <w:rPr>
          <w:lang w:val="en-GB"/>
        </w:rPr>
      </w:pPr>
      <w:r w:rsidRPr="00EB1CD8">
        <w:rPr>
          <w:lang w:val="en-GB"/>
        </w:rPr>
        <w:t>When the notification is correct, click Submit.</w:t>
      </w:r>
    </w:p>
    <w:p w14:paraId="60C2B731" w14:textId="3674C6F4" w:rsidR="00EB1CD8" w:rsidRPr="00EB1CD8" w:rsidRDefault="00EB1CD8" w:rsidP="00EB1CD8">
      <w:pPr>
        <w:rPr>
          <w:lang w:val="en-GB"/>
        </w:rPr>
      </w:pPr>
      <w:r w:rsidRPr="00EB1CD8">
        <w:rPr>
          <w:lang w:val="en-GB"/>
        </w:rPr>
        <w:t xml:space="preserve">You will see a box where you enter your email address. Then we know who at your company has submitted the quotation and should be contacted by our category organization. </w:t>
      </w:r>
    </w:p>
    <w:p w14:paraId="28FAAB38" w14:textId="77777777" w:rsidR="00EB1CD8" w:rsidRPr="00EB1CD8" w:rsidRDefault="00EB1CD8" w:rsidP="00EB1CD8">
      <w:pPr>
        <w:rPr>
          <w:lang w:val="en-GB"/>
        </w:rPr>
      </w:pPr>
      <w:r w:rsidRPr="00EB1CD8">
        <w:rPr>
          <w:lang w:val="en-GB"/>
        </w:rPr>
        <w:t xml:space="preserve">Please also indicate the period of notification. Please note that Fastlane may ONLY be used on the invitation, </w:t>
      </w:r>
      <w:proofErr w:type="spellStart"/>
      <w:r w:rsidRPr="00EB1CD8">
        <w:rPr>
          <w:lang w:val="en-GB"/>
        </w:rPr>
        <w:t>ie</w:t>
      </w:r>
      <w:proofErr w:type="spellEnd"/>
      <w:r w:rsidRPr="00EB1CD8">
        <w:rPr>
          <w:lang w:val="en-GB"/>
        </w:rPr>
        <w:t xml:space="preserve"> when Menigo requests a quote on a request from a customer.</w:t>
      </w:r>
    </w:p>
    <w:p w14:paraId="338743B5" w14:textId="77777777" w:rsidR="00EB1CD8" w:rsidRPr="00EB1CD8" w:rsidRDefault="00EB1CD8" w:rsidP="00EB1CD8">
      <w:pPr>
        <w:rPr>
          <w:lang w:val="en-GB"/>
        </w:rPr>
      </w:pPr>
      <w:r w:rsidRPr="00EB1CD8">
        <w:rPr>
          <w:lang w:val="en-GB"/>
        </w:rPr>
        <w:t>The screen shows confirmation that everything has gone well.</w:t>
      </w:r>
    </w:p>
    <w:p w14:paraId="3EEF17EE" w14:textId="5947E142" w:rsidR="002B5EBF" w:rsidRDefault="00EB1CD8" w:rsidP="00EB1CD8">
      <w:pPr>
        <w:rPr>
          <w:lang w:val="en-GB"/>
        </w:rPr>
      </w:pPr>
      <w:r w:rsidRPr="00EB1CD8">
        <w:rPr>
          <w:lang w:val="en-GB"/>
        </w:rPr>
        <w:t xml:space="preserve">As long as you do not submit, your lines will remain under articles, even if you log out. The lines are inaccessible to </w:t>
      </w:r>
      <w:r w:rsidR="00771412" w:rsidRPr="00EB1CD8">
        <w:rPr>
          <w:lang w:val="en-GB"/>
        </w:rPr>
        <w:t>Menigo,</w:t>
      </w:r>
      <w:r w:rsidRPr="00EB1CD8">
        <w:rPr>
          <w:lang w:val="en-GB"/>
        </w:rPr>
        <w:t xml:space="preserve"> </w:t>
      </w:r>
      <w:bookmarkStart w:id="0" w:name="_GoBack"/>
      <w:bookmarkEnd w:id="0"/>
      <w:r w:rsidRPr="00EB1CD8">
        <w:rPr>
          <w:lang w:val="en-GB"/>
        </w:rPr>
        <w:t xml:space="preserve">so it is important that you submit in order for your material to progress. </w:t>
      </w:r>
      <w:r w:rsidRPr="002925B1">
        <w:rPr>
          <w:lang w:val="en-GB"/>
        </w:rPr>
        <w:t>Now you're done.</w:t>
      </w:r>
    </w:p>
    <w:p w14:paraId="44946F33" w14:textId="2D27D874" w:rsidR="002B5EBF" w:rsidRDefault="006651FD" w:rsidP="00EB1CD8">
      <w:pPr>
        <w:rPr>
          <w:lang w:val="en-GB"/>
        </w:rPr>
      </w:pPr>
      <w:r w:rsidRPr="002925B1">
        <w:rPr>
          <w:lang w:val="en-GB"/>
        </w:rPr>
        <w:t>If necessary, the category organization will contact you.</w:t>
      </w:r>
    </w:p>
    <w:p w14:paraId="09D7E9B1" w14:textId="52263F23" w:rsidR="00173E1E" w:rsidRPr="002925B1" w:rsidRDefault="0046657F" w:rsidP="00EB1CD8">
      <w:pPr>
        <w:rPr>
          <w:lang w:val="en-GB"/>
        </w:rPr>
      </w:pPr>
      <w:r>
        <w:rPr>
          <w:lang w:val="en-GB"/>
        </w:rPr>
        <w:t xml:space="preserve">If you have any questions concerning </w:t>
      </w:r>
      <w:r w:rsidR="0080577E">
        <w:rPr>
          <w:lang w:val="en-GB"/>
        </w:rPr>
        <w:t xml:space="preserve">the administration and functions in this tool, please send a mail to </w:t>
      </w:r>
      <w:hyperlink r:id="rId13" w:history="1">
        <w:r w:rsidR="0080577E" w:rsidRPr="00F74C68">
          <w:rPr>
            <w:rStyle w:val="Hyperlnk"/>
            <w:lang w:val="en-GB"/>
          </w:rPr>
          <w:t>melvin@menigo.se</w:t>
        </w:r>
      </w:hyperlink>
      <w:r w:rsidR="0080577E">
        <w:rPr>
          <w:lang w:val="en-GB"/>
        </w:rPr>
        <w:t xml:space="preserve"> and we will get back to you as soon as possible.</w:t>
      </w:r>
      <w:r w:rsidR="00173E1E" w:rsidRPr="002925B1">
        <w:rPr>
          <w:lang w:val="en-GB"/>
        </w:rPr>
        <w:br/>
      </w:r>
    </w:p>
    <w:sectPr w:rsidR="00173E1E" w:rsidRPr="002925B1" w:rsidSect="00CE06F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495" w:right="1700" w:bottom="1134" w:left="1134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1D232" w14:textId="77777777" w:rsidR="0023230F" w:rsidRDefault="0023230F" w:rsidP="00ED6C6F">
      <w:pPr>
        <w:spacing w:after="0" w:line="240" w:lineRule="auto"/>
      </w:pPr>
      <w:r>
        <w:separator/>
      </w:r>
    </w:p>
  </w:endnote>
  <w:endnote w:type="continuationSeparator" w:id="0">
    <w:p w14:paraId="4FDD22CA" w14:textId="77777777" w:rsidR="0023230F" w:rsidRDefault="0023230F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B70CD" w14:textId="77777777" w:rsidR="0023236B" w:rsidRDefault="0023236B" w:rsidP="00605D6F">
    <w:pPr>
      <w:pStyle w:val="Sidfot"/>
      <w:spacing w:before="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3"/>
      <w:gridCol w:w="198"/>
      <w:gridCol w:w="2262"/>
      <w:gridCol w:w="219"/>
      <w:gridCol w:w="2239"/>
      <w:gridCol w:w="224"/>
      <w:gridCol w:w="2234"/>
    </w:tblGrid>
    <w:tr w:rsidR="0023236B" w14:paraId="4952A844" w14:textId="77777777" w:rsidTr="0023236B">
      <w:trPr>
        <w:trHeight w:hRule="exact" w:val="227"/>
      </w:trPr>
      <w:tc>
        <w:tcPr>
          <w:tcW w:w="2263" w:type="dxa"/>
          <w:tcBorders>
            <w:top w:val="single" w:sz="8" w:space="0" w:color="F7594D" w:themeColor="accent1"/>
          </w:tcBorders>
        </w:tcPr>
        <w:p w14:paraId="69E9086E" w14:textId="77777777" w:rsidR="0023236B" w:rsidRDefault="0023236B" w:rsidP="0023236B">
          <w:pPr>
            <w:pStyle w:val="Sidfot"/>
          </w:pPr>
        </w:p>
      </w:tc>
      <w:tc>
        <w:tcPr>
          <w:tcW w:w="198" w:type="dxa"/>
          <w:tcBorders>
            <w:top w:val="single" w:sz="8" w:space="0" w:color="F7594D" w:themeColor="accent1"/>
          </w:tcBorders>
        </w:tcPr>
        <w:p w14:paraId="2BF54153" w14:textId="77777777" w:rsidR="0023236B" w:rsidRDefault="0023236B" w:rsidP="0023236B">
          <w:pPr>
            <w:pStyle w:val="Sidfot"/>
          </w:pPr>
        </w:p>
      </w:tc>
      <w:tc>
        <w:tcPr>
          <w:tcW w:w="2262" w:type="dxa"/>
          <w:tcBorders>
            <w:top w:val="single" w:sz="8" w:space="0" w:color="F7594D" w:themeColor="accent1"/>
          </w:tcBorders>
        </w:tcPr>
        <w:p w14:paraId="7AD7CD10" w14:textId="77777777" w:rsidR="0023236B" w:rsidRDefault="0023236B" w:rsidP="0023236B">
          <w:pPr>
            <w:pStyle w:val="Sidfot"/>
          </w:pPr>
        </w:p>
      </w:tc>
      <w:tc>
        <w:tcPr>
          <w:tcW w:w="219" w:type="dxa"/>
          <w:tcBorders>
            <w:top w:val="single" w:sz="8" w:space="0" w:color="F7594D" w:themeColor="accent1"/>
          </w:tcBorders>
        </w:tcPr>
        <w:p w14:paraId="43E2DCB1" w14:textId="77777777" w:rsidR="0023236B" w:rsidRDefault="0023236B" w:rsidP="0023236B">
          <w:pPr>
            <w:pStyle w:val="Sidfot"/>
          </w:pPr>
        </w:p>
      </w:tc>
      <w:tc>
        <w:tcPr>
          <w:tcW w:w="2239" w:type="dxa"/>
          <w:tcBorders>
            <w:top w:val="single" w:sz="8" w:space="0" w:color="F7594D" w:themeColor="accent1"/>
          </w:tcBorders>
        </w:tcPr>
        <w:p w14:paraId="71395222" w14:textId="77777777" w:rsidR="0023236B" w:rsidRDefault="0023236B" w:rsidP="0023236B">
          <w:pPr>
            <w:pStyle w:val="Sidfot"/>
          </w:pPr>
        </w:p>
      </w:tc>
      <w:tc>
        <w:tcPr>
          <w:tcW w:w="224" w:type="dxa"/>
          <w:tcBorders>
            <w:top w:val="single" w:sz="8" w:space="0" w:color="F7594D" w:themeColor="accent1"/>
          </w:tcBorders>
        </w:tcPr>
        <w:p w14:paraId="3F10C867" w14:textId="77777777" w:rsidR="0023236B" w:rsidRDefault="0023236B" w:rsidP="0023236B">
          <w:pPr>
            <w:pStyle w:val="Sidfot"/>
          </w:pPr>
        </w:p>
      </w:tc>
      <w:tc>
        <w:tcPr>
          <w:tcW w:w="2234" w:type="dxa"/>
          <w:tcBorders>
            <w:top w:val="single" w:sz="8" w:space="0" w:color="F7594D" w:themeColor="accent1"/>
          </w:tcBorders>
        </w:tcPr>
        <w:p w14:paraId="01E5008C" w14:textId="77777777" w:rsidR="0023236B" w:rsidRDefault="0023236B" w:rsidP="0023236B">
          <w:pPr>
            <w:pStyle w:val="Sidfot"/>
          </w:pPr>
        </w:p>
      </w:tc>
    </w:tr>
    <w:tr w:rsidR="0023236B" w14:paraId="6F82CA1D" w14:textId="77777777" w:rsidTr="0023236B">
      <w:trPr>
        <w:trHeight w:val="850"/>
      </w:trPr>
      <w:tc>
        <w:tcPr>
          <w:tcW w:w="2263" w:type="dxa"/>
        </w:tcPr>
        <w:p w14:paraId="6C462B74" w14:textId="335CF994" w:rsidR="0023236B" w:rsidRDefault="0023236B" w:rsidP="0023236B">
          <w:pPr>
            <w:pStyle w:val="Sidfot"/>
          </w:pPr>
        </w:p>
      </w:tc>
      <w:tc>
        <w:tcPr>
          <w:tcW w:w="198" w:type="dxa"/>
        </w:tcPr>
        <w:p w14:paraId="5AFDFDBF" w14:textId="77777777" w:rsidR="0023236B" w:rsidRDefault="0023236B" w:rsidP="0023236B">
          <w:pPr>
            <w:pStyle w:val="Sidfot"/>
          </w:pPr>
        </w:p>
      </w:tc>
      <w:tc>
        <w:tcPr>
          <w:tcW w:w="2262" w:type="dxa"/>
        </w:tcPr>
        <w:p w14:paraId="19AF627B" w14:textId="51E4033C" w:rsidR="0023236B" w:rsidRDefault="0023236B" w:rsidP="0023236B">
          <w:pPr>
            <w:pStyle w:val="Sidfot"/>
          </w:pPr>
        </w:p>
      </w:tc>
      <w:tc>
        <w:tcPr>
          <w:tcW w:w="219" w:type="dxa"/>
        </w:tcPr>
        <w:p w14:paraId="7861BE08" w14:textId="77777777" w:rsidR="0023236B" w:rsidRDefault="0023236B" w:rsidP="0023236B">
          <w:pPr>
            <w:pStyle w:val="Sidfot"/>
          </w:pPr>
        </w:p>
      </w:tc>
      <w:tc>
        <w:tcPr>
          <w:tcW w:w="2239" w:type="dxa"/>
        </w:tcPr>
        <w:p w14:paraId="406EDD70" w14:textId="6232CCB4" w:rsidR="0023236B" w:rsidRDefault="0023236B" w:rsidP="0023236B">
          <w:pPr>
            <w:pStyle w:val="Sidfot"/>
          </w:pPr>
        </w:p>
      </w:tc>
      <w:tc>
        <w:tcPr>
          <w:tcW w:w="224" w:type="dxa"/>
        </w:tcPr>
        <w:p w14:paraId="7831DB90" w14:textId="77777777" w:rsidR="0023236B" w:rsidRDefault="0023236B" w:rsidP="0023236B">
          <w:pPr>
            <w:pStyle w:val="Sidfot"/>
          </w:pPr>
        </w:p>
      </w:tc>
      <w:tc>
        <w:tcPr>
          <w:tcW w:w="2234" w:type="dxa"/>
        </w:tcPr>
        <w:p w14:paraId="1DAC2136" w14:textId="1AD11582" w:rsidR="0023236B" w:rsidRDefault="0023236B" w:rsidP="0023236B">
          <w:pPr>
            <w:pStyle w:val="Sidfot"/>
          </w:pPr>
        </w:p>
      </w:tc>
    </w:tr>
  </w:tbl>
  <w:p w14:paraId="0790AEE7" w14:textId="77777777" w:rsidR="0023236B" w:rsidRDefault="002323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D1BDD" w14:textId="77777777" w:rsidR="0023230F" w:rsidRDefault="0023230F" w:rsidP="00ED6C6F">
      <w:pPr>
        <w:spacing w:after="0" w:line="240" w:lineRule="auto"/>
      </w:pPr>
      <w:r>
        <w:separator/>
      </w:r>
    </w:p>
  </w:footnote>
  <w:footnote w:type="continuationSeparator" w:id="0">
    <w:p w14:paraId="696CAF39" w14:textId="77777777" w:rsidR="0023230F" w:rsidRDefault="0023230F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6"/>
      <w:gridCol w:w="2477"/>
      <w:gridCol w:w="2206"/>
    </w:tblGrid>
    <w:tr w:rsidR="007A0B7E" w14:paraId="40F8D50F" w14:textId="77777777" w:rsidTr="0039039B">
      <w:trPr>
        <w:trHeight w:val="567"/>
      </w:trPr>
      <w:tc>
        <w:tcPr>
          <w:tcW w:w="4956" w:type="dxa"/>
        </w:tcPr>
        <w:p w14:paraId="243055E3" w14:textId="77777777" w:rsidR="007A0B7E" w:rsidRDefault="00726A01">
          <w:pPr>
            <w:pStyle w:val="Sidhuvud"/>
          </w:pPr>
          <w:r>
            <w:rPr>
              <w:noProof/>
            </w:rPr>
            <w:drawing>
              <wp:anchor distT="0" distB="0" distL="114300" distR="114300" simplePos="0" relativeHeight="251665407" behindDoc="0" locked="1" layoutInCell="1" allowOverlap="1" wp14:anchorId="38D87325" wp14:editId="62C631E6">
                <wp:simplePos x="0" y="0"/>
                <wp:positionH relativeFrom="page">
                  <wp:posOffset>0</wp:posOffset>
                </wp:positionH>
                <wp:positionV relativeFrom="page">
                  <wp:posOffset>-64770</wp:posOffset>
                </wp:positionV>
                <wp:extent cx="943200" cy="982800"/>
                <wp:effectExtent l="0" t="0" r="0" b="8255"/>
                <wp:wrapNone/>
                <wp:docPr id="21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nigoPin_cmy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200" cy="98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77" w:type="dxa"/>
        </w:tcPr>
        <w:p w14:paraId="6D5B9A70" w14:textId="77777777" w:rsidR="007A0B7E" w:rsidRDefault="007A0B7E" w:rsidP="0039039B">
          <w:pPr>
            <w:pStyle w:val="Sidhuvud"/>
          </w:pPr>
        </w:p>
      </w:tc>
      <w:tc>
        <w:tcPr>
          <w:tcW w:w="2206" w:type="dxa"/>
        </w:tcPr>
        <w:p w14:paraId="6E40A4A2" w14:textId="77777777" w:rsidR="007A0B7E" w:rsidRDefault="007A0B7E" w:rsidP="0039039B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 w:rsidR="00F505E5">
            <w:rPr>
              <w:noProof/>
            </w:rPr>
            <w:fldChar w:fldCharType="begin"/>
          </w:r>
          <w:r w:rsidR="00F505E5">
            <w:rPr>
              <w:noProof/>
            </w:rPr>
            <w:instrText xml:space="preserve"> NUMPAGES   \* MERGEFORMAT </w:instrText>
          </w:r>
          <w:r w:rsidR="00F505E5">
            <w:rPr>
              <w:noProof/>
            </w:rPr>
            <w:fldChar w:fldCharType="separate"/>
          </w:r>
          <w:r>
            <w:rPr>
              <w:noProof/>
            </w:rPr>
            <w:t>8</w:t>
          </w:r>
          <w:r w:rsidR="00F505E5">
            <w:rPr>
              <w:noProof/>
            </w:rPr>
            <w:fldChar w:fldCharType="end"/>
          </w:r>
        </w:p>
      </w:tc>
    </w:tr>
  </w:tbl>
  <w:p w14:paraId="2512842E" w14:textId="77777777" w:rsidR="00F0589B" w:rsidRDefault="00F058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6"/>
      <w:gridCol w:w="2477"/>
      <w:gridCol w:w="2206"/>
    </w:tblGrid>
    <w:tr w:rsidR="0023236B" w14:paraId="61A18597" w14:textId="77777777" w:rsidTr="00D5405B">
      <w:trPr>
        <w:trHeight w:val="567"/>
      </w:trPr>
      <w:tc>
        <w:tcPr>
          <w:tcW w:w="4956" w:type="dxa"/>
        </w:tcPr>
        <w:p w14:paraId="4177E7D4" w14:textId="77777777" w:rsidR="0023236B" w:rsidRDefault="00726A01" w:rsidP="00BF1E72">
          <w:pPr>
            <w:pStyle w:val="Sidhuvud"/>
            <w:spacing w:after="100" w:afterAutospacing="1"/>
          </w:pPr>
          <w:r>
            <w:rPr>
              <w:noProof/>
            </w:rPr>
            <w:drawing>
              <wp:anchor distT="0" distB="0" distL="114300" distR="114300" simplePos="0" relativeHeight="251667455" behindDoc="0" locked="1" layoutInCell="1" allowOverlap="1" wp14:anchorId="68752E20" wp14:editId="72777F34">
                <wp:simplePos x="0" y="0"/>
                <wp:positionH relativeFrom="page">
                  <wp:posOffset>0</wp:posOffset>
                </wp:positionH>
                <wp:positionV relativeFrom="page">
                  <wp:posOffset>-66040</wp:posOffset>
                </wp:positionV>
                <wp:extent cx="943200" cy="982800"/>
                <wp:effectExtent l="0" t="0" r="0" b="8255"/>
                <wp:wrapNone/>
                <wp:docPr id="22" name="Bildobjekt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nigoPin_cmy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200" cy="98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77" w:type="dxa"/>
        </w:tcPr>
        <w:p w14:paraId="300592EC" w14:textId="77777777" w:rsidR="0023236B" w:rsidRDefault="0023236B" w:rsidP="0023236B">
          <w:pPr>
            <w:pStyle w:val="Sidhuvud"/>
          </w:pPr>
        </w:p>
      </w:tc>
      <w:tc>
        <w:tcPr>
          <w:tcW w:w="2206" w:type="dxa"/>
        </w:tcPr>
        <w:p w14:paraId="60E23895" w14:textId="77777777" w:rsidR="0023236B" w:rsidRDefault="0023236B" w:rsidP="0023236B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0C8EED6A" w14:textId="77777777" w:rsidR="0023236B" w:rsidRDefault="0023236B" w:rsidP="00BF1E72">
    <w:pPr>
      <w:pStyle w:val="Sidhuvud"/>
      <w:spacing w:after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6E786238"/>
    <w:lvl w:ilvl="0">
      <w:start w:val="1"/>
      <w:numFmt w:val="bullet"/>
      <w:pStyle w:val="Punktlista"/>
      <w:lvlText w:val="•"/>
      <w:lvlJc w:val="left"/>
      <w:pPr>
        <w:ind w:left="170" w:hanging="17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340" w:hanging="17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–"/>
      <w:lvlJc w:val="left"/>
      <w:pPr>
        <w:ind w:left="510" w:hanging="17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D07AE"/>
    <w:multiLevelType w:val="hybridMultilevel"/>
    <w:tmpl w:val="DC9E1F66"/>
    <w:lvl w:ilvl="0" w:tplc="BCA2149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BFA0DA04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219" w:hanging="121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F0660C4"/>
    <w:multiLevelType w:val="hybridMultilevel"/>
    <w:tmpl w:val="4FCCD0CE"/>
    <w:lvl w:ilvl="0" w:tplc="23B082F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2079E"/>
    <w:multiLevelType w:val="hybridMultilevel"/>
    <w:tmpl w:val="D2F807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018162F"/>
    <w:multiLevelType w:val="hybridMultilevel"/>
    <w:tmpl w:val="9F1C5C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A7FF5"/>
    <w:multiLevelType w:val="hybridMultilevel"/>
    <w:tmpl w:val="725EF9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C2F97"/>
    <w:multiLevelType w:val="hybridMultilevel"/>
    <w:tmpl w:val="BE72A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722B8"/>
    <w:multiLevelType w:val="hybridMultilevel"/>
    <w:tmpl w:val="3AA2CB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15"/>
  </w:num>
  <w:num w:numId="17">
    <w:abstractNumId w:val="11"/>
  </w:num>
  <w:num w:numId="18">
    <w:abstractNumId w:val="13"/>
  </w:num>
  <w:num w:numId="19">
    <w:abstractNumId w:val="19"/>
  </w:num>
  <w:num w:numId="20">
    <w:abstractNumId w:val="16"/>
  </w:num>
  <w:num w:numId="21">
    <w:abstractNumId w:val="17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2D"/>
    <w:rsid w:val="00023CF5"/>
    <w:rsid w:val="000304A9"/>
    <w:rsid w:val="00055C92"/>
    <w:rsid w:val="0007043B"/>
    <w:rsid w:val="00077100"/>
    <w:rsid w:val="00081E07"/>
    <w:rsid w:val="000D29F7"/>
    <w:rsid w:val="000D4286"/>
    <w:rsid w:val="000E2E1E"/>
    <w:rsid w:val="0011207E"/>
    <w:rsid w:val="00114E24"/>
    <w:rsid w:val="00142663"/>
    <w:rsid w:val="001503CC"/>
    <w:rsid w:val="00173E1E"/>
    <w:rsid w:val="00182716"/>
    <w:rsid w:val="00186E67"/>
    <w:rsid w:val="001B4BB9"/>
    <w:rsid w:val="002053F8"/>
    <w:rsid w:val="00220B93"/>
    <w:rsid w:val="0023230F"/>
    <w:rsid w:val="0023236B"/>
    <w:rsid w:val="00232E2C"/>
    <w:rsid w:val="002346A2"/>
    <w:rsid w:val="00255AA0"/>
    <w:rsid w:val="0027614D"/>
    <w:rsid w:val="002925B1"/>
    <w:rsid w:val="002A223C"/>
    <w:rsid w:val="002B5EBF"/>
    <w:rsid w:val="002F7366"/>
    <w:rsid w:val="003058B5"/>
    <w:rsid w:val="0032448B"/>
    <w:rsid w:val="0032548A"/>
    <w:rsid w:val="0033102A"/>
    <w:rsid w:val="00364E4F"/>
    <w:rsid w:val="00371E50"/>
    <w:rsid w:val="003843B9"/>
    <w:rsid w:val="0039039B"/>
    <w:rsid w:val="003977E2"/>
    <w:rsid w:val="003A0FEC"/>
    <w:rsid w:val="003F3856"/>
    <w:rsid w:val="00425132"/>
    <w:rsid w:val="00433562"/>
    <w:rsid w:val="004539FA"/>
    <w:rsid w:val="00463F60"/>
    <w:rsid w:val="0046657F"/>
    <w:rsid w:val="00466ABB"/>
    <w:rsid w:val="00481060"/>
    <w:rsid w:val="00483F66"/>
    <w:rsid w:val="004B63CC"/>
    <w:rsid w:val="004E0B05"/>
    <w:rsid w:val="004F0D7E"/>
    <w:rsid w:val="004F4945"/>
    <w:rsid w:val="00525887"/>
    <w:rsid w:val="005630E5"/>
    <w:rsid w:val="00594D98"/>
    <w:rsid w:val="005A403A"/>
    <w:rsid w:val="005A5F50"/>
    <w:rsid w:val="005F29FB"/>
    <w:rsid w:val="00605D6F"/>
    <w:rsid w:val="00607532"/>
    <w:rsid w:val="006137D6"/>
    <w:rsid w:val="0062771E"/>
    <w:rsid w:val="006651FD"/>
    <w:rsid w:val="006832C8"/>
    <w:rsid w:val="00691B62"/>
    <w:rsid w:val="006C069E"/>
    <w:rsid w:val="006C42C2"/>
    <w:rsid w:val="006E43A5"/>
    <w:rsid w:val="00720566"/>
    <w:rsid w:val="0072452D"/>
    <w:rsid w:val="00726A01"/>
    <w:rsid w:val="007313A8"/>
    <w:rsid w:val="00750C36"/>
    <w:rsid w:val="00767C41"/>
    <w:rsid w:val="00771412"/>
    <w:rsid w:val="007829D2"/>
    <w:rsid w:val="00783074"/>
    <w:rsid w:val="007A0B53"/>
    <w:rsid w:val="007A0B7E"/>
    <w:rsid w:val="007B634A"/>
    <w:rsid w:val="007C75D9"/>
    <w:rsid w:val="007E16FA"/>
    <w:rsid w:val="007F7FE9"/>
    <w:rsid w:val="0080577E"/>
    <w:rsid w:val="00812DE5"/>
    <w:rsid w:val="00827F78"/>
    <w:rsid w:val="00834506"/>
    <w:rsid w:val="00840C25"/>
    <w:rsid w:val="008574B7"/>
    <w:rsid w:val="0087100D"/>
    <w:rsid w:val="00875CBE"/>
    <w:rsid w:val="00880ECE"/>
    <w:rsid w:val="008C5285"/>
    <w:rsid w:val="008E37E0"/>
    <w:rsid w:val="008F042D"/>
    <w:rsid w:val="00911CB0"/>
    <w:rsid w:val="009142F8"/>
    <w:rsid w:val="00915F41"/>
    <w:rsid w:val="009255D9"/>
    <w:rsid w:val="00944487"/>
    <w:rsid w:val="00972BBE"/>
    <w:rsid w:val="00976057"/>
    <w:rsid w:val="00990644"/>
    <w:rsid w:val="00990DA7"/>
    <w:rsid w:val="009D34ED"/>
    <w:rsid w:val="009E6EF9"/>
    <w:rsid w:val="009E7F82"/>
    <w:rsid w:val="009F037C"/>
    <w:rsid w:val="009F13B9"/>
    <w:rsid w:val="00A201D7"/>
    <w:rsid w:val="00A26002"/>
    <w:rsid w:val="00A363C7"/>
    <w:rsid w:val="00A51CEF"/>
    <w:rsid w:val="00A90A48"/>
    <w:rsid w:val="00AC5ADF"/>
    <w:rsid w:val="00AD354E"/>
    <w:rsid w:val="00AD5832"/>
    <w:rsid w:val="00AE1831"/>
    <w:rsid w:val="00AE71AD"/>
    <w:rsid w:val="00AF046C"/>
    <w:rsid w:val="00AF5B57"/>
    <w:rsid w:val="00B002D3"/>
    <w:rsid w:val="00B11B15"/>
    <w:rsid w:val="00B26E98"/>
    <w:rsid w:val="00B30455"/>
    <w:rsid w:val="00B327C8"/>
    <w:rsid w:val="00B4285A"/>
    <w:rsid w:val="00B713A2"/>
    <w:rsid w:val="00B71B19"/>
    <w:rsid w:val="00B74A41"/>
    <w:rsid w:val="00B81AF2"/>
    <w:rsid w:val="00B91F0D"/>
    <w:rsid w:val="00BB48AC"/>
    <w:rsid w:val="00BE69D3"/>
    <w:rsid w:val="00BF1E72"/>
    <w:rsid w:val="00BF37E4"/>
    <w:rsid w:val="00C079B5"/>
    <w:rsid w:val="00C4216C"/>
    <w:rsid w:val="00C85DE3"/>
    <w:rsid w:val="00CB3C48"/>
    <w:rsid w:val="00CC6E7C"/>
    <w:rsid w:val="00CD4676"/>
    <w:rsid w:val="00CD7483"/>
    <w:rsid w:val="00CE06FB"/>
    <w:rsid w:val="00CE557B"/>
    <w:rsid w:val="00D070FF"/>
    <w:rsid w:val="00D2298A"/>
    <w:rsid w:val="00D4779E"/>
    <w:rsid w:val="00D51E00"/>
    <w:rsid w:val="00D65765"/>
    <w:rsid w:val="00DC43BC"/>
    <w:rsid w:val="00DD2E98"/>
    <w:rsid w:val="00DF0444"/>
    <w:rsid w:val="00DF365C"/>
    <w:rsid w:val="00E21880"/>
    <w:rsid w:val="00E33025"/>
    <w:rsid w:val="00EB1CD8"/>
    <w:rsid w:val="00EB1E30"/>
    <w:rsid w:val="00ED6C6F"/>
    <w:rsid w:val="00EE55BF"/>
    <w:rsid w:val="00F0589B"/>
    <w:rsid w:val="00F162FF"/>
    <w:rsid w:val="00F302AD"/>
    <w:rsid w:val="00F4778E"/>
    <w:rsid w:val="00F47DA7"/>
    <w:rsid w:val="00F505E5"/>
    <w:rsid w:val="00FA7FCF"/>
    <w:rsid w:val="00FB32E0"/>
    <w:rsid w:val="00FB33B6"/>
    <w:rsid w:val="00FC6F9F"/>
    <w:rsid w:val="00FF2493"/>
    <w:rsid w:val="1081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0E863A"/>
  <w15:chartTrackingRefBased/>
  <w15:docId w15:val="{2B82124F-EF53-42A1-90DF-BC76C2B4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7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7F78"/>
    <w:pPr>
      <w:spacing w:line="260" w:lineRule="atLeast"/>
    </w:pPr>
    <w:rPr>
      <w:sz w:val="22"/>
    </w:rPr>
  </w:style>
  <w:style w:type="paragraph" w:styleId="Rubrik1">
    <w:name w:val="heading 1"/>
    <w:basedOn w:val="Rubrik"/>
    <w:next w:val="Normal"/>
    <w:link w:val="Rubrik1Char"/>
    <w:uiPriority w:val="9"/>
    <w:qFormat/>
    <w:rsid w:val="0039039B"/>
    <w:pPr>
      <w:keepNext/>
      <w:keepLines/>
      <w:spacing w:before="320" w:after="280" w:line="400" w:lineRule="atLeast"/>
      <w:outlineLvl w:val="0"/>
    </w:pPr>
    <w:rPr>
      <w:bCs w:val="0"/>
      <w:sz w:val="36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F0589B"/>
    <w:pPr>
      <w:spacing w:before="240" w:after="0" w:line="260" w:lineRule="atLeast"/>
      <w:outlineLvl w:val="1"/>
    </w:pPr>
    <w:rPr>
      <w:bCs/>
      <w:sz w:val="22"/>
    </w:rPr>
  </w:style>
  <w:style w:type="paragraph" w:styleId="Rubrik3">
    <w:name w:val="heading 3"/>
    <w:basedOn w:val="Rubrik2"/>
    <w:next w:val="Normal"/>
    <w:link w:val="Rubrik3Char"/>
    <w:uiPriority w:val="9"/>
    <w:qFormat/>
    <w:rsid w:val="0087100D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7100D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9039B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0589B"/>
    <w:rPr>
      <w:rFonts w:asciiTheme="majorHAnsi" w:eastAsiaTheme="majorEastAsia" w:hAnsiTheme="majorHAnsi" w:cstheme="majorBidi"/>
      <w:b/>
      <w:b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87100D"/>
    <w:rPr>
      <w:rFonts w:asciiTheme="majorHAnsi" w:eastAsiaTheme="majorEastAsia" w:hAnsiTheme="majorHAnsi" w:cstheme="majorBidi"/>
      <w:bCs/>
      <w:sz w:val="2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87100D"/>
    <w:rPr>
      <w:rFonts w:asciiTheme="majorHAnsi" w:eastAsiaTheme="majorEastAsia" w:hAnsiTheme="majorHAnsi" w:cstheme="majorBidi"/>
      <w:bCs/>
      <w:i/>
      <w:iCs/>
      <w:sz w:val="22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35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6137D6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6137D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Underrubrik">
    <w:name w:val="Subtitle"/>
    <w:basedOn w:val="Rubrik"/>
    <w:next w:val="Normal"/>
    <w:link w:val="UnderrubrikChar"/>
    <w:uiPriority w:val="11"/>
    <w:rsid w:val="004539FA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39FA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AD354E"/>
    <w:pPr>
      <w:keepNext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2A223C"/>
    <w:pPr>
      <w:spacing w:after="100"/>
    </w:pPr>
  </w:style>
  <w:style w:type="paragraph" w:styleId="Innehll2">
    <w:name w:val="toc 2"/>
    <w:basedOn w:val="Normal"/>
    <w:next w:val="Normal"/>
    <w:uiPriority w:val="39"/>
    <w:rsid w:val="002A223C"/>
    <w:pPr>
      <w:spacing w:after="100"/>
      <w:ind w:left="220"/>
    </w:pPr>
  </w:style>
  <w:style w:type="paragraph" w:styleId="Innehll3">
    <w:name w:val="toc 3"/>
    <w:basedOn w:val="Normal"/>
    <w:next w:val="Normal"/>
    <w:uiPriority w:val="39"/>
    <w:rsid w:val="002A223C"/>
    <w:pPr>
      <w:spacing w:after="100"/>
      <w:ind w:left="440"/>
    </w:pPr>
  </w:style>
  <w:style w:type="paragraph" w:styleId="Innehll4">
    <w:name w:val="toc 4"/>
    <w:basedOn w:val="Normal"/>
    <w:next w:val="Normal"/>
    <w:uiPriority w:val="39"/>
    <w:rsid w:val="002A223C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rsid w:val="004F4945"/>
    <w:pPr>
      <w:tabs>
        <w:tab w:val="center" w:pos="4536"/>
        <w:tab w:val="right" w:pos="9072"/>
      </w:tabs>
      <w:spacing w:after="0" w:line="192" w:lineRule="atLeas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F4945"/>
    <w:rPr>
      <w:sz w:val="16"/>
    </w:rPr>
  </w:style>
  <w:style w:type="paragraph" w:styleId="Sidfot">
    <w:name w:val="footer"/>
    <w:basedOn w:val="Normal"/>
    <w:link w:val="SidfotChar"/>
    <w:uiPriority w:val="99"/>
    <w:rsid w:val="004F4945"/>
    <w:pPr>
      <w:tabs>
        <w:tab w:val="center" w:pos="4536"/>
        <w:tab w:val="right" w:pos="9072"/>
      </w:tabs>
      <w:spacing w:after="0" w:line="192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4F4945"/>
    <w:rPr>
      <w:sz w:val="16"/>
    </w:rPr>
  </w:style>
  <w:style w:type="paragraph" w:styleId="Punktlista">
    <w:name w:val="List Bullet"/>
    <w:basedOn w:val="Normal"/>
    <w:uiPriority w:val="99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99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5F5F5F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99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99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99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rsid w:val="00142663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rsid w:val="00142663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rsid w:val="00142663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rsid w:val="00142663"/>
    <w:pPr>
      <w:numPr>
        <w:ilvl w:val="3"/>
        <w:numId w:val="14"/>
      </w:numPr>
    </w:pPr>
  </w:style>
  <w:style w:type="character" w:styleId="Sidnummer">
    <w:name w:val="page number"/>
    <w:basedOn w:val="Standardstycketeckensnitt"/>
    <w:uiPriority w:val="99"/>
    <w:rsid w:val="004F4945"/>
    <w:rPr>
      <w:sz w:val="16"/>
    </w:rPr>
  </w:style>
  <w:style w:type="paragraph" w:customStyle="1" w:styleId="Pa0">
    <w:name w:val="Pa0"/>
    <w:basedOn w:val="Normal"/>
    <w:next w:val="Normal"/>
    <w:uiPriority w:val="99"/>
    <w:rsid w:val="00880ECE"/>
    <w:pPr>
      <w:autoSpaceDE w:val="0"/>
      <w:autoSpaceDN w:val="0"/>
      <w:adjustRightInd w:val="0"/>
      <w:spacing w:after="0" w:line="201" w:lineRule="atLeast"/>
    </w:pPr>
    <w:rPr>
      <w:rFonts w:ascii="Calibri" w:hAnsi="Calibri" w:cs="Calibri"/>
      <w:sz w:val="24"/>
      <w:szCs w:val="24"/>
      <w:lang w:val="en-GB"/>
    </w:rPr>
  </w:style>
  <w:style w:type="character" w:customStyle="1" w:styleId="A3">
    <w:name w:val="A3"/>
    <w:uiPriority w:val="99"/>
    <w:rsid w:val="00880ECE"/>
    <w:rPr>
      <w:color w:val="221E1F"/>
      <w:sz w:val="22"/>
      <w:szCs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805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lvin@menigo.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nigo\Mallar\Menigo%20Brev%20-%20inget%20adressf&#246;nster.dotx" TargetMode="External"/></Relationships>
</file>

<file path=word/theme/theme1.xml><?xml version="1.0" encoding="utf-8"?>
<a:theme xmlns:a="http://schemas.openxmlformats.org/drawingml/2006/main" name="Office Theme">
  <a:themeElements>
    <a:clrScheme name="Menigo_Color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F7594D"/>
      </a:accent1>
      <a:accent2>
        <a:srgbClr val="F2B52E"/>
      </a:accent2>
      <a:accent3>
        <a:srgbClr val="3B4775"/>
      </a:accent3>
      <a:accent4>
        <a:srgbClr val="24733B"/>
      </a:accent4>
      <a:accent5>
        <a:srgbClr val="704587"/>
      </a:accent5>
      <a:accent6>
        <a:srgbClr val="C98C33"/>
      </a:accent6>
      <a:hlink>
        <a:srgbClr val="5F5F5F"/>
      </a:hlink>
      <a:folHlink>
        <a:srgbClr val="919191"/>
      </a:folHlink>
    </a:clrScheme>
    <a:fontScheme name="Menigo_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8927CAA006D7468FABC9F70EE2E410" ma:contentTypeVersion="2" ma:contentTypeDescription="Skapa ett nytt dokument." ma:contentTypeScope="" ma:versionID="a7229b30672c8fc3d3018313e85a1217">
  <xsd:schema xmlns:xsd="http://www.w3.org/2001/XMLSchema" xmlns:xs="http://www.w3.org/2001/XMLSchema" xmlns:p="http://schemas.microsoft.com/office/2006/metadata/properties" xmlns:ns2="f867d033-dc64-49fa-abad-bf7919b9ecef" targetNamespace="http://schemas.microsoft.com/office/2006/metadata/properties" ma:root="true" ma:fieldsID="dd405d4ba7a840eebdac46a51eca5dce" ns2:_="">
    <xsd:import namespace="f867d033-dc64-49fa-abad-bf7919b9e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7d033-dc64-49fa-abad-bf7919b9e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A2783-99E5-4668-8E24-13E45DDFF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7d033-dc64-49fa-abad-bf7919b9e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E6CBC5-CA56-495D-A26B-AEB377098F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ADB958-6DAA-4D53-BC65-1AFAEA16D5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8E8E66-57BA-4D9B-AB45-CC63F59D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Menigo Brev - inget adressfönster</Template>
  <TotalTime>52</TotalTime>
  <Pages>2</Pages>
  <Words>657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Sterner</dc:creator>
  <cp:keywords>class='Open'</cp:keywords>
  <dc:description/>
  <cp:lastModifiedBy>Lorraine Daum</cp:lastModifiedBy>
  <cp:revision>60</cp:revision>
  <cp:lastPrinted>2019-09-14T09:07:00Z</cp:lastPrinted>
  <dcterms:created xsi:type="dcterms:W3CDTF">2019-10-10T14:08:00Z</dcterms:created>
  <dcterms:modified xsi:type="dcterms:W3CDTF">2019-10-22T13:15:00Z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0x0101006F8927CAA006D7468FABC9F70EE2E410</vt:lpwstr>
  </property>
</Properties>
</file>